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08B4" w14:textId="7F1EFF6F" w:rsidR="004D4904" w:rsidRDefault="00D25F70">
      <w:r>
        <w:t xml:space="preserve">LSPS table missing from page 8 in the Planning Proposal can be found below: </w:t>
      </w:r>
    </w:p>
    <w:p w14:paraId="633A3929" w14:textId="4BAFD334" w:rsidR="00D25F70" w:rsidRDefault="00D25F70"/>
    <w:p w14:paraId="45CFC204" w14:textId="77777777" w:rsidR="00772490" w:rsidRDefault="00772490" w:rsidP="00772490">
      <w:pPr>
        <w:jc w:val="both"/>
      </w:pPr>
    </w:p>
    <w:tbl>
      <w:tblPr>
        <w:tblW w:w="0" w:type="auto"/>
        <w:tblCellMar>
          <w:left w:w="0" w:type="dxa"/>
          <w:right w:w="0" w:type="dxa"/>
        </w:tblCellMar>
        <w:tblLook w:val="04A0" w:firstRow="1" w:lastRow="0" w:firstColumn="1" w:lastColumn="0" w:noHBand="0" w:noVBand="1"/>
      </w:tblPr>
      <w:tblGrid>
        <w:gridCol w:w="9006"/>
      </w:tblGrid>
      <w:tr w:rsidR="00772490" w14:paraId="5C975CBD" w14:textId="77777777" w:rsidTr="00772490">
        <w:trPr>
          <w:trHeight w:val="454"/>
        </w:trPr>
        <w:tc>
          <w:tcPr>
            <w:tcW w:w="9016" w:type="dxa"/>
            <w:tcBorders>
              <w:top w:val="single" w:sz="8" w:space="0" w:color="auto"/>
              <w:left w:val="single" w:sz="8" w:space="0" w:color="auto"/>
              <w:bottom w:val="single" w:sz="8" w:space="0" w:color="auto"/>
              <w:right w:val="single" w:sz="8" w:space="0" w:color="auto"/>
            </w:tcBorders>
            <w:shd w:val="clear" w:color="auto" w:fill="00A5B1"/>
            <w:tcMar>
              <w:top w:w="0" w:type="dxa"/>
              <w:left w:w="108" w:type="dxa"/>
              <w:bottom w:w="0" w:type="dxa"/>
              <w:right w:w="108" w:type="dxa"/>
            </w:tcMar>
            <w:vAlign w:val="center"/>
            <w:hideMark/>
          </w:tcPr>
          <w:p w14:paraId="4E52E13A" w14:textId="77777777" w:rsidR="00772490" w:rsidRDefault="00772490">
            <w:pPr>
              <w:spacing w:line="276" w:lineRule="auto"/>
              <w:jc w:val="center"/>
              <w:rPr>
                <w:b/>
                <w:bCs/>
              </w:rPr>
            </w:pPr>
            <w:r>
              <w:rPr>
                <w:b/>
                <w:bCs/>
                <w:color w:val="FFFFFF"/>
              </w:rPr>
              <w:t>INFRASTRUCTURE AND COLLABORATION</w:t>
            </w:r>
            <w:r>
              <w:rPr>
                <w:b/>
                <w:bCs/>
              </w:rPr>
              <w:t xml:space="preserve"> </w:t>
            </w:r>
          </w:p>
        </w:tc>
      </w:tr>
      <w:tr w:rsidR="00772490" w14:paraId="56A34BB3" w14:textId="77777777" w:rsidTr="00772490">
        <w:trPr>
          <w:trHeight w:val="60"/>
        </w:trPr>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DA35D" w14:textId="77777777" w:rsidR="00772490" w:rsidRDefault="00772490">
            <w:r>
              <w:t xml:space="preserve">Planning Priorities: </w:t>
            </w:r>
          </w:p>
          <w:p w14:paraId="2D01056C"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Aligning infrastructure delivery with community needs </w:t>
            </w:r>
          </w:p>
          <w:p w14:paraId="1B39C386"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Embracing innovation to enhance liveable, </w:t>
            </w:r>
            <w:proofErr w:type="gramStart"/>
            <w:r>
              <w:rPr>
                <w:rFonts w:eastAsia="Times New Roman"/>
              </w:rPr>
              <w:t>connected</w:t>
            </w:r>
            <w:proofErr w:type="gramEnd"/>
            <w:r>
              <w:rPr>
                <w:rFonts w:eastAsia="Times New Roman"/>
              </w:rPr>
              <w:t xml:space="preserve"> and sustainable communities </w:t>
            </w:r>
          </w:p>
          <w:p w14:paraId="120EA381"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Establishing a framework for sustainable managed growth </w:t>
            </w:r>
          </w:p>
        </w:tc>
      </w:tr>
      <w:tr w:rsidR="00772490" w14:paraId="79BE21C1"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C08F0" w14:textId="77777777" w:rsidR="00772490" w:rsidRDefault="00772490">
            <w:pPr>
              <w:rPr>
                <w:u w:val="single"/>
              </w:rPr>
            </w:pPr>
            <w:r>
              <w:rPr>
                <w:u w:val="single"/>
              </w:rPr>
              <w:t xml:space="preserve">Assessment against Theme: </w:t>
            </w:r>
          </w:p>
          <w:p w14:paraId="6A0FC324" w14:textId="77777777" w:rsidR="00772490" w:rsidRDefault="00772490">
            <w:r>
              <w:t xml:space="preserve">The planning proposal supports Council’s position on sustainable managed growth in Wollondilly. The site is primarily located within the Wilton Growth Area identified for future employment land uses. The site will leverage from the existing road and rail network connections without major impacts to the traffic servicing level of the area. </w:t>
            </w:r>
          </w:p>
        </w:tc>
      </w:tr>
    </w:tbl>
    <w:p w14:paraId="0E21D59D" w14:textId="77777777" w:rsidR="00772490" w:rsidRDefault="00772490" w:rsidP="00772490">
      <w:pPr>
        <w:rPr>
          <w:rFonts w:ascii="Calibri" w:hAnsi="Calibri" w:cs="Calibri"/>
          <w:sz w:val="20"/>
          <w:szCs w:val="20"/>
        </w:rPr>
      </w:pPr>
    </w:p>
    <w:tbl>
      <w:tblPr>
        <w:tblW w:w="0" w:type="auto"/>
        <w:tblCellMar>
          <w:left w:w="0" w:type="dxa"/>
          <w:right w:w="0" w:type="dxa"/>
        </w:tblCellMar>
        <w:tblLook w:val="04A0" w:firstRow="1" w:lastRow="0" w:firstColumn="1" w:lastColumn="0" w:noHBand="0" w:noVBand="1"/>
      </w:tblPr>
      <w:tblGrid>
        <w:gridCol w:w="9006"/>
      </w:tblGrid>
      <w:tr w:rsidR="00772490" w14:paraId="55CDC13A" w14:textId="77777777" w:rsidTr="00772490">
        <w:trPr>
          <w:trHeight w:val="454"/>
        </w:trPr>
        <w:tc>
          <w:tcPr>
            <w:tcW w:w="9016" w:type="dxa"/>
            <w:tcBorders>
              <w:top w:val="single" w:sz="8" w:space="0" w:color="auto"/>
              <w:left w:val="single" w:sz="8" w:space="0" w:color="auto"/>
              <w:bottom w:val="single" w:sz="8" w:space="0" w:color="auto"/>
              <w:right w:val="single" w:sz="8" w:space="0" w:color="auto"/>
            </w:tcBorders>
            <w:shd w:val="clear" w:color="auto" w:fill="00A5B1"/>
            <w:tcMar>
              <w:top w:w="0" w:type="dxa"/>
              <w:left w:w="108" w:type="dxa"/>
              <w:bottom w:w="0" w:type="dxa"/>
              <w:right w:w="108" w:type="dxa"/>
            </w:tcMar>
            <w:vAlign w:val="center"/>
            <w:hideMark/>
          </w:tcPr>
          <w:p w14:paraId="430C9C1C" w14:textId="77777777" w:rsidR="00772490" w:rsidRDefault="00772490">
            <w:pPr>
              <w:jc w:val="center"/>
              <w:rPr>
                <w:b/>
                <w:bCs/>
              </w:rPr>
            </w:pPr>
            <w:r>
              <w:rPr>
                <w:b/>
                <w:bCs/>
                <w:color w:val="FFFFFF"/>
              </w:rPr>
              <w:t>LIVEABILITY</w:t>
            </w:r>
            <w:r>
              <w:rPr>
                <w:b/>
                <w:bCs/>
              </w:rPr>
              <w:t xml:space="preserve"> </w:t>
            </w:r>
          </w:p>
        </w:tc>
      </w:tr>
      <w:tr w:rsidR="00772490" w14:paraId="6CA42823"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ACDB" w14:textId="77777777" w:rsidR="00772490" w:rsidRDefault="00772490">
            <w:r>
              <w:t xml:space="preserve">Planning Priorities: </w:t>
            </w:r>
          </w:p>
          <w:p w14:paraId="6A461EC7"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Creating vibrant, </w:t>
            </w:r>
            <w:proofErr w:type="gramStart"/>
            <w:r>
              <w:rPr>
                <w:rFonts w:eastAsia="Times New Roman"/>
              </w:rPr>
              <w:t>healthy</w:t>
            </w:r>
            <w:proofErr w:type="gramEnd"/>
            <w:r>
              <w:rPr>
                <w:rFonts w:eastAsia="Times New Roman"/>
              </w:rPr>
              <w:t xml:space="preserve"> and sustainable communities in our new town in Wilton </w:t>
            </w:r>
          </w:p>
          <w:p w14:paraId="1F17B49A"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Providing housing options that meet local needs and match the local character of towns and villages </w:t>
            </w:r>
          </w:p>
          <w:p w14:paraId="6B783888"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Embedding health and wellbeing considerations in land use planning for healthy places </w:t>
            </w:r>
          </w:p>
          <w:p w14:paraId="7E1DA945"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Cultivating a creative and cultural destination connecting people with place </w:t>
            </w:r>
          </w:p>
          <w:p w14:paraId="52F3C39C"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Enhancing vibrant, </w:t>
            </w:r>
            <w:proofErr w:type="gramStart"/>
            <w:r>
              <w:rPr>
                <w:rFonts w:eastAsia="Times New Roman"/>
              </w:rPr>
              <w:t>healthy</w:t>
            </w:r>
            <w:proofErr w:type="gramEnd"/>
            <w:r>
              <w:rPr>
                <w:rFonts w:eastAsia="Times New Roman"/>
              </w:rPr>
              <w:t xml:space="preserve"> and sustainable local towns and villages </w:t>
            </w:r>
          </w:p>
        </w:tc>
      </w:tr>
      <w:tr w:rsidR="00772490" w14:paraId="1A0F8879"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B934" w14:textId="77777777" w:rsidR="00772490" w:rsidRDefault="00772490">
            <w:pPr>
              <w:rPr>
                <w:u w:val="single"/>
              </w:rPr>
            </w:pPr>
            <w:r>
              <w:rPr>
                <w:u w:val="single"/>
              </w:rPr>
              <w:t xml:space="preserve">Assessment against Theme: </w:t>
            </w:r>
          </w:p>
          <w:p w14:paraId="7A61EEB5" w14:textId="77777777" w:rsidR="00772490" w:rsidRDefault="00772490">
            <w:r>
              <w:t xml:space="preserve">The proposal is consistent with the vision and structure plan identified in </w:t>
            </w:r>
            <w:r>
              <w:rPr>
                <w:i/>
                <w:iCs/>
              </w:rPr>
              <w:t>Wilton 2040.</w:t>
            </w:r>
            <w:r>
              <w:t xml:space="preserve"> The proposal does not intend to deliver housing and is not located within a local town or village. </w:t>
            </w:r>
          </w:p>
        </w:tc>
      </w:tr>
    </w:tbl>
    <w:p w14:paraId="60F34107" w14:textId="77777777" w:rsidR="00772490" w:rsidRDefault="00772490" w:rsidP="00772490">
      <w:pPr>
        <w:rPr>
          <w:rFonts w:ascii="Calibri" w:hAnsi="Calibri" w:cs="Calibri"/>
          <w:sz w:val="20"/>
          <w:szCs w:val="20"/>
        </w:rPr>
      </w:pPr>
    </w:p>
    <w:tbl>
      <w:tblPr>
        <w:tblW w:w="0" w:type="auto"/>
        <w:tblCellMar>
          <w:left w:w="0" w:type="dxa"/>
          <w:right w:w="0" w:type="dxa"/>
        </w:tblCellMar>
        <w:tblLook w:val="04A0" w:firstRow="1" w:lastRow="0" w:firstColumn="1" w:lastColumn="0" w:noHBand="0" w:noVBand="1"/>
      </w:tblPr>
      <w:tblGrid>
        <w:gridCol w:w="9006"/>
      </w:tblGrid>
      <w:tr w:rsidR="00772490" w14:paraId="372F96C7" w14:textId="77777777" w:rsidTr="00772490">
        <w:trPr>
          <w:trHeight w:val="454"/>
        </w:trPr>
        <w:tc>
          <w:tcPr>
            <w:tcW w:w="9016" w:type="dxa"/>
            <w:tcBorders>
              <w:top w:val="single" w:sz="8" w:space="0" w:color="auto"/>
              <w:left w:val="single" w:sz="8" w:space="0" w:color="auto"/>
              <w:bottom w:val="single" w:sz="8" w:space="0" w:color="auto"/>
              <w:right w:val="single" w:sz="8" w:space="0" w:color="auto"/>
            </w:tcBorders>
            <w:shd w:val="clear" w:color="auto" w:fill="00A5B1"/>
            <w:tcMar>
              <w:top w:w="0" w:type="dxa"/>
              <w:left w:w="108" w:type="dxa"/>
              <w:bottom w:w="0" w:type="dxa"/>
              <w:right w:w="108" w:type="dxa"/>
            </w:tcMar>
            <w:vAlign w:val="center"/>
            <w:hideMark/>
          </w:tcPr>
          <w:p w14:paraId="6F1296C9" w14:textId="77777777" w:rsidR="00772490" w:rsidRDefault="00772490">
            <w:pPr>
              <w:jc w:val="center"/>
              <w:rPr>
                <w:b/>
                <w:bCs/>
              </w:rPr>
            </w:pPr>
            <w:r>
              <w:rPr>
                <w:b/>
                <w:bCs/>
                <w:color w:val="FFFFFF"/>
              </w:rPr>
              <w:t>PRODUCTIVITY</w:t>
            </w:r>
            <w:r>
              <w:rPr>
                <w:b/>
                <w:bCs/>
              </w:rPr>
              <w:t xml:space="preserve"> </w:t>
            </w:r>
          </w:p>
        </w:tc>
      </w:tr>
      <w:tr w:rsidR="00772490" w14:paraId="75EABC30"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83094" w14:textId="77777777" w:rsidR="00772490" w:rsidRDefault="00772490">
            <w:r>
              <w:t xml:space="preserve">Planning Priorities: </w:t>
            </w:r>
          </w:p>
          <w:p w14:paraId="302C60E7"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Developing the visitor experience and economy by increasing access to natural areas and rural landscapes </w:t>
            </w:r>
          </w:p>
          <w:p w14:paraId="318E4E2B"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Attracting investment and growing local jobs </w:t>
            </w:r>
          </w:p>
          <w:p w14:paraId="3B598FB4"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Leveraging greater investment and business opportunities from Western Sydney International (Nancy-Bird Walton) Airport </w:t>
            </w:r>
          </w:p>
        </w:tc>
      </w:tr>
      <w:tr w:rsidR="00772490" w14:paraId="7B503794"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2686F" w14:textId="77777777" w:rsidR="00772490" w:rsidRDefault="00772490">
            <w:pPr>
              <w:rPr>
                <w:u w:val="single"/>
              </w:rPr>
            </w:pPr>
            <w:r>
              <w:rPr>
                <w:u w:val="single"/>
              </w:rPr>
              <w:t xml:space="preserve">Assessment against Theme: </w:t>
            </w:r>
          </w:p>
          <w:p w14:paraId="13AD52DA" w14:textId="77777777" w:rsidR="00772490" w:rsidRDefault="00772490">
            <w:r>
              <w:t xml:space="preserve">Natural and vegetated areas will be retained and protected through the application of the E2 zone. The proposal is consistent with the Wollondilly Employment Land Study with potential for an additional 320 permanent jobs. The site will </w:t>
            </w:r>
            <w:proofErr w:type="gramStart"/>
            <w:r>
              <w:t>is</w:t>
            </w:r>
            <w:proofErr w:type="gramEnd"/>
            <w:r>
              <w:t xml:space="preserve"> currently well connected. Opportunities to better leverage from the Western Sydney International Airport will become available via infrastructure projects such as the Outer Sydney Orbital. </w:t>
            </w:r>
          </w:p>
        </w:tc>
      </w:tr>
    </w:tbl>
    <w:p w14:paraId="4F71266B" w14:textId="77777777" w:rsidR="00772490" w:rsidRDefault="00772490" w:rsidP="00772490">
      <w:pPr>
        <w:rPr>
          <w:rFonts w:ascii="Calibri" w:hAnsi="Calibri" w:cs="Calibri"/>
          <w:sz w:val="20"/>
          <w:szCs w:val="20"/>
        </w:rPr>
      </w:pPr>
    </w:p>
    <w:p w14:paraId="42DBC83D" w14:textId="77777777" w:rsidR="00772490" w:rsidRDefault="00772490" w:rsidP="00772490">
      <w:pPr>
        <w:rPr>
          <w:sz w:val="20"/>
          <w:szCs w:val="20"/>
        </w:rPr>
      </w:pPr>
    </w:p>
    <w:tbl>
      <w:tblPr>
        <w:tblW w:w="0" w:type="auto"/>
        <w:tblCellMar>
          <w:left w:w="0" w:type="dxa"/>
          <w:right w:w="0" w:type="dxa"/>
        </w:tblCellMar>
        <w:tblLook w:val="04A0" w:firstRow="1" w:lastRow="0" w:firstColumn="1" w:lastColumn="0" w:noHBand="0" w:noVBand="1"/>
      </w:tblPr>
      <w:tblGrid>
        <w:gridCol w:w="9006"/>
      </w:tblGrid>
      <w:tr w:rsidR="00772490" w14:paraId="2DF08B71" w14:textId="77777777" w:rsidTr="00772490">
        <w:trPr>
          <w:trHeight w:val="454"/>
        </w:trPr>
        <w:tc>
          <w:tcPr>
            <w:tcW w:w="9016" w:type="dxa"/>
            <w:tcBorders>
              <w:top w:val="single" w:sz="8" w:space="0" w:color="auto"/>
              <w:left w:val="single" w:sz="8" w:space="0" w:color="auto"/>
              <w:bottom w:val="single" w:sz="8" w:space="0" w:color="auto"/>
              <w:right w:val="single" w:sz="8" w:space="0" w:color="auto"/>
            </w:tcBorders>
            <w:shd w:val="clear" w:color="auto" w:fill="00A5B1"/>
            <w:tcMar>
              <w:top w:w="0" w:type="dxa"/>
              <w:left w:w="108" w:type="dxa"/>
              <w:bottom w:w="0" w:type="dxa"/>
              <w:right w:w="108" w:type="dxa"/>
            </w:tcMar>
            <w:vAlign w:val="center"/>
            <w:hideMark/>
          </w:tcPr>
          <w:p w14:paraId="049D9F2F" w14:textId="77777777" w:rsidR="00772490" w:rsidRDefault="00772490">
            <w:pPr>
              <w:jc w:val="center"/>
              <w:rPr>
                <w:b/>
                <w:bCs/>
              </w:rPr>
            </w:pPr>
            <w:r>
              <w:rPr>
                <w:b/>
                <w:bCs/>
                <w:color w:val="FFFFFF"/>
              </w:rPr>
              <w:t>SUSTAINABILITY</w:t>
            </w:r>
            <w:r>
              <w:rPr>
                <w:b/>
                <w:bCs/>
              </w:rPr>
              <w:t xml:space="preserve"> </w:t>
            </w:r>
          </w:p>
        </w:tc>
      </w:tr>
      <w:tr w:rsidR="00772490" w14:paraId="3B653496"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23ED4" w14:textId="77777777" w:rsidR="00772490" w:rsidRDefault="00772490">
            <w:r>
              <w:t xml:space="preserve">Planning Priorities: </w:t>
            </w:r>
          </w:p>
          <w:p w14:paraId="3CD0F726"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Valuing the ecological health of Wollondilly’s waterways </w:t>
            </w:r>
          </w:p>
          <w:p w14:paraId="37A6461F"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Protecting biodiversity and koala habitat corridors </w:t>
            </w:r>
          </w:p>
          <w:p w14:paraId="00DCE8E9"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Planning high quality well connected open spaces </w:t>
            </w:r>
          </w:p>
          <w:p w14:paraId="35DFD75C"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Delivering an urban tree canopy </w:t>
            </w:r>
          </w:p>
          <w:p w14:paraId="6755BE69"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Enhancing and protecting the diverse values of the Metropolitan Rural Area </w:t>
            </w:r>
          </w:p>
          <w:p w14:paraId="5F76AD37"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Planning resource recovery options to serve local and district needs in appropriate strategic locations </w:t>
            </w:r>
          </w:p>
          <w:p w14:paraId="66E00679" w14:textId="77777777" w:rsidR="00772490" w:rsidRDefault="00772490" w:rsidP="003B65DB">
            <w:pPr>
              <w:pStyle w:val="ListParagraph"/>
              <w:numPr>
                <w:ilvl w:val="0"/>
                <w:numId w:val="1"/>
              </w:numPr>
              <w:spacing w:after="0" w:line="240" w:lineRule="auto"/>
              <w:rPr>
                <w:rFonts w:eastAsia="Times New Roman"/>
              </w:rPr>
            </w:pPr>
            <w:r>
              <w:rPr>
                <w:rFonts w:eastAsia="Times New Roman"/>
              </w:rPr>
              <w:t xml:space="preserve">Living with climate impacts and contributing to the broader resilience of Greater Sydney </w:t>
            </w:r>
          </w:p>
        </w:tc>
      </w:tr>
      <w:tr w:rsidR="00772490" w14:paraId="65DF89C8"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F3629" w14:textId="77777777" w:rsidR="00772490" w:rsidRDefault="00772490">
            <w:pPr>
              <w:rPr>
                <w:u w:val="single"/>
              </w:rPr>
            </w:pPr>
            <w:r>
              <w:rPr>
                <w:u w:val="single"/>
              </w:rPr>
              <w:t xml:space="preserve">Assessment against Theme: </w:t>
            </w:r>
          </w:p>
          <w:p w14:paraId="5AED8A4D" w14:textId="77777777" w:rsidR="00772490" w:rsidRDefault="00772490">
            <w:r>
              <w:t xml:space="preserve">The application of the E2 zone will provide a buffer between the industrial area and the riparian corridor which will help maintain the ecological health of </w:t>
            </w:r>
            <w:proofErr w:type="spellStart"/>
            <w:r>
              <w:t>Stonequarry</w:t>
            </w:r>
            <w:proofErr w:type="spellEnd"/>
            <w:r>
              <w:t xml:space="preserve"> creek. The E2 zone also aligns to the draft CPCP Strategic Conservation Area which will protect areas of high biodiversity and known koala corridors. Less than three percent of the land is identified as Metropolitan Rural Area (MRA). The MRA layer is considered inconsistent with the strategic intent of the site. </w:t>
            </w:r>
          </w:p>
        </w:tc>
      </w:tr>
    </w:tbl>
    <w:p w14:paraId="4BB5A761" w14:textId="77777777" w:rsidR="00772490" w:rsidRDefault="00772490" w:rsidP="00772490">
      <w:pPr>
        <w:rPr>
          <w:rFonts w:ascii="Calibri" w:hAnsi="Calibri" w:cs="Calibri"/>
        </w:rPr>
      </w:pPr>
    </w:p>
    <w:tbl>
      <w:tblPr>
        <w:tblW w:w="0" w:type="auto"/>
        <w:tblCellMar>
          <w:left w:w="0" w:type="dxa"/>
          <w:right w:w="0" w:type="dxa"/>
        </w:tblCellMar>
        <w:tblLook w:val="04A0" w:firstRow="1" w:lastRow="0" w:firstColumn="1" w:lastColumn="0" w:noHBand="0" w:noVBand="1"/>
      </w:tblPr>
      <w:tblGrid>
        <w:gridCol w:w="9006"/>
      </w:tblGrid>
      <w:tr w:rsidR="00772490" w14:paraId="2D51F369" w14:textId="77777777" w:rsidTr="00772490">
        <w:trPr>
          <w:trHeight w:val="454"/>
        </w:trPr>
        <w:tc>
          <w:tcPr>
            <w:tcW w:w="9016" w:type="dxa"/>
            <w:tcBorders>
              <w:top w:val="single" w:sz="8" w:space="0" w:color="auto"/>
              <w:left w:val="single" w:sz="8" w:space="0" w:color="auto"/>
              <w:bottom w:val="single" w:sz="8" w:space="0" w:color="auto"/>
              <w:right w:val="single" w:sz="8" w:space="0" w:color="auto"/>
            </w:tcBorders>
            <w:shd w:val="clear" w:color="auto" w:fill="00A5B1"/>
            <w:tcMar>
              <w:top w:w="0" w:type="dxa"/>
              <w:left w:w="108" w:type="dxa"/>
              <w:bottom w:w="0" w:type="dxa"/>
              <w:right w:w="108" w:type="dxa"/>
            </w:tcMar>
            <w:vAlign w:val="center"/>
            <w:hideMark/>
          </w:tcPr>
          <w:p w14:paraId="12E31965" w14:textId="77777777" w:rsidR="00772490" w:rsidRDefault="00772490">
            <w:pPr>
              <w:jc w:val="center"/>
              <w:rPr>
                <w:b/>
                <w:bCs/>
              </w:rPr>
            </w:pPr>
            <w:r>
              <w:rPr>
                <w:b/>
                <w:bCs/>
                <w:color w:val="FFFFFF"/>
              </w:rPr>
              <w:t>OVERALL ASSESSMENT</w:t>
            </w:r>
            <w:r>
              <w:rPr>
                <w:b/>
                <w:bCs/>
              </w:rPr>
              <w:t xml:space="preserve"> </w:t>
            </w:r>
          </w:p>
        </w:tc>
      </w:tr>
      <w:tr w:rsidR="00772490" w14:paraId="7C2A6061"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3D411" w14:textId="77777777" w:rsidR="00772490" w:rsidRDefault="00772490">
            <w:r>
              <w:t xml:space="preserve">Themes: </w:t>
            </w:r>
          </w:p>
          <w:p w14:paraId="141B709D" w14:textId="77777777" w:rsidR="00772490" w:rsidRDefault="00772490" w:rsidP="003B65DB">
            <w:pPr>
              <w:pStyle w:val="ListParagraph"/>
              <w:numPr>
                <w:ilvl w:val="0"/>
                <w:numId w:val="2"/>
              </w:numPr>
              <w:spacing w:after="0" w:line="240" w:lineRule="auto"/>
              <w:rPr>
                <w:rFonts w:eastAsia="Times New Roman"/>
              </w:rPr>
            </w:pPr>
            <w:r>
              <w:rPr>
                <w:rFonts w:eastAsia="Times New Roman"/>
              </w:rPr>
              <w:t xml:space="preserve">Infrastructure and Collaboration </w:t>
            </w:r>
          </w:p>
          <w:p w14:paraId="7BBBE1BE" w14:textId="77777777" w:rsidR="00772490" w:rsidRDefault="00772490" w:rsidP="003B65DB">
            <w:pPr>
              <w:pStyle w:val="ListParagraph"/>
              <w:numPr>
                <w:ilvl w:val="0"/>
                <w:numId w:val="2"/>
              </w:numPr>
              <w:spacing w:after="0" w:line="240" w:lineRule="auto"/>
              <w:rPr>
                <w:rFonts w:eastAsia="Times New Roman"/>
              </w:rPr>
            </w:pPr>
            <w:r>
              <w:rPr>
                <w:rFonts w:eastAsia="Times New Roman"/>
              </w:rPr>
              <w:t xml:space="preserve">Liveability </w:t>
            </w:r>
          </w:p>
          <w:p w14:paraId="71D02464" w14:textId="77777777" w:rsidR="00772490" w:rsidRDefault="00772490" w:rsidP="003B65DB">
            <w:pPr>
              <w:pStyle w:val="ListParagraph"/>
              <w:numPr>
                <w:ilvl w:val="0"/>
                <w:numId w:val="2"/>
              </w:numPr>
              <w:spacing w:after="0" w:line="240" w:lineRule="auto"/>
              <w:rPr>
                <w:rFonts w:eastAsia="Times New Roman"/>
              </w:rPr>
            </w:pPr>
            <w:r>
              <w:rPr>
                <w:rFonts w:eastAsia="Times New Roman"/>
              </w:rPr>
              <w:t xml:space="preserve">Productivity </w:t>
            </w:r>
          </w:p>
          <w:p w14:paraId="5910FF98" w14:textId="77777777" w:rsidR="00772490" w:rsidRDefault="00772490" w:rsidP="003B65DB">
            <w:pPr>
              <w:pStyle w:val="ListParagraph"/>
              <w:numPr>
                <w:ilvl w:val="0"/>
                <w:numId w:val="2"/>
              </w:numPr>
              <w:spacing w:after="0" w:line="240" w:lineRule="auto"/>
              <w:rPr>
                <w:rFonts w:eastAsia="Times New Roman"/>
              </w:rPr>
            </w:pPr>
            <w:r>
              <w:rPr>
                <w:rFonts w:eastAsia="Times New Roman"/>
              </w:rPr>
              <w:t xml:space="preserve">Sustainability </w:t>
            </w:r>
          </w:p>
        </w:tc>
      </w:tr>
      <w:tr w:rsidR="00772490" w14:paraId="7337B48A" w14:textId="77777777" w:rsidTr="00772490">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0543D" w14:textId="77777777" w:rsidR="00772490" w:rsidRDefault="00772490">
            <w:pPr>
              <w:rPr>
                <w:u w:val="single"/>
              </w:rPr>
            </w:pPr>
            <w:r>
              <w:rPr>
                <w:u w:val="single"/>
              </w:rPr>
              <w:t xml:space="preserve">Assessment against LSPS: </w:t>
            </w:r>
          </w:p>
          <w:p w14:paraId="6D6C6A52" w14:textId="77777777" w:rsidR="00772490" w:rsidRDefault="00772490">
            <w:proofErr w:type="gramStart"/>
            <w:r>
              <w:t>Overall</w:t>
            </w:r>
            <w:proofErr w:type="gramEnd"/>
            <w:r>
              <w:t xml:space="preserve"> the planning proposal is consistent with Wollondilly’s LSPS. The proposal is located within the growth area, suitable for the expansion of industrial land and is well serviced with minimal infrastructure upgrades required to support future development. The proposal does not present any major social, </w:t>
            </w:r>
            <w:proofErr w:type="gramStart"/>
            <w:r>
              <w:t>environmental</w:t>
            </w:r>
            <w:proofErr w:type="gramEnd"/>
            <w:r>
              <w:t xml:space="preserve"> or economic impacts that would undermine successful implementation of the LSPS. </w:t>
            </w:r>
          </w:p>
        </w:tc>
      </w:tr>
    </w:tbl>
    <w:p w14:paraId="33464EA7" w14:textId="77777777" w:rsidR="00D25F70" w:rsidRDefault="00D25F70"/>
    <w:sectPr w:rsidR="00D25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699B"/>
    <w:multiLevelType w:val="hybridMultilevel"/>
    <w:tmpl w:val="42CE4E9A"/>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4CD04F6"/>
    <w:multiLevelType w:val="hybridMultilevel"/>
    <w:tmpl w:val="E828F6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76357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996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70"/>
    <w:rsid w:val="003E7E17"/>
    <w:rsid w:val="004D4904"/>
    <w:rsid w:val="00772490"/>
    <w:rsid w:val="00D25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76952"/>
  <w15:chartTrackingRefBased/>
  <w15:docId w15:val="{9DDD1335-0E82-4D49-995A-849CFD0F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90"/>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573</Words>
  <Characters>3126</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Bell</dc:creator>
  <cp:keywords/>
  <dc:description/>
  <cp:lastModifiedBy>Edward Bell</cp:lastModifiedBy>
  <cp:revision>1</cp:revision>
  <dcterms:created xsi:type="dcterms:W3CDTF">2023-11-23T04:37:00Z</dcterms:created>
  <dcterms:modified xsi:type="dcterms:W3CDTF">2023-11-23T14:19:00Z</dcterms:modified>
</cp:coreProperties>
</file>